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7D7180">
        <w:rPr>
          <w:rFonts w:ascii="Arial" w:hAnsi="Arial" w:cs="Arial"/>
          <w:b/>
        </w:rPr>
        <w:t>Computing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r w:rsidR="007D7180">
        <w:rPr>
          <w:rFonts w:ascii="Arial" w:hAnsi="Arial" w:cs="Arial"/>
          <w:b/>
        </w:rPr>
        <w:t>Computing</w:t>
      </w:r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24473A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926B98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 xml:space="preserve">minute session, </w:t>
      </w:r>
      <w:r w:rsidR="00CE2EF6">
        <w:rPr>
          <w:rFonts w:ascii="Arial" w:hAnsi="Arial" w:cs="Arial"/>
        </w:rPr>
        <w:t>once a</w:t>
      </w:r>
      <w:r w:rsidR="00EA7BF3" w:rsidRPr="00201ABF">
        <w:rPr>
          <w:rFonts w:ascii="Arial" w:hAnsi="Arial" w:cs="Arial"/>
        </w:rPr>
        <w:t xml:space="preserve">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posOffset>91440</wp:posOffset>
                </wp:positionH>
                <wp:positionV relativeFrom="paragraph">
                  <wp:posOffset>271145</wp:posOffset>
                </wp:positionV>
                <wp:extent cx="6416040" cy="1287780"/>
                <wp:effectExtent l="19050" t="19050" r="22860" b="4572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28778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from: Digital Literacy, Computing Science or Information Technology,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shared with the class and an </w:t>
                            </w:r>
                            <w:r w:rsidR="007D71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overview for the lesson given.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Lesson input can be done in the classroom before the session or in the suite.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7.2pt;margin-top:21.35pt;width:505.2pt;height:101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" adj="14035,10036,15132,10486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 from: Digital Literacy, Computing Science or Information Technology,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shared with the class and an </w:t>
                      </w:r>
                      <w:r w:rsidR="007D7180">
                        <w:rPr>
                          <w:rFonts w:ascii="Arial" w:hAnsi="Arial" w:cs="Arial"/>
                          <w:color w:val="000000" w:themeColor="text1"/>
                        </w:rPr>
                        <w:t>overview for the lesson given.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  Lesson input can be done in the classroom before the session or in the suite.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180">
        <w:rPr>
          <w:rFonts w:ascii="Arial" w:hAnsi="Arial" w:cs="Arial"/>
        </w:rPr>
        <w:t>Following objectives from Teach Computing curriculum (2021)</w:t>
      </w:r>
      <w:r w:rsidR="00201ABF" w:rsidRPr="00201ABF">
        <w:rPr>
          <w:rFonts w:ascii="Arial" w:hAnsi="Arial" w:cs="Arial"/>
        </w:rPr>
        <w:t>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106680</wp:posOffset>
                </wp:positionH>
                <wp:positionV relativeFrom="paragraph">
                  <wp:posOffset>197485</wp:posOffset>
                </wp:positionV>
                <wp:extent cx="6400800" cy="1524000"/>
                <wp:effectExtent l="19050" t="19050" r="1905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240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CE2EF6" w:rsidRPr="00201ABF" w:rsidRDefault="00201ABF" w:rsidP="002464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Interactive recap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showing the program/software that is being used </w:t>
                            </w:r>
                            <w:r w:rsidR="00AC4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where applicable</w:t>
                            </w:r>
                            <w:r w:rsidR="00AC4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),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C4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discuss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and reinforce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previous 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learning and 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vocabulary knowle</w:t>
                            </w:r>
                            <w:r w:rsidR="00AC4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dge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7D71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Explore and recap vocab from </w:t>
                            </w:r>
                            <w:r w:rsidR="00AC4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class </w:t>
                            </w:r>
                            <w:r w:rsidR="007D71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r w:rsidR="00E927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ocabulary j</w:t>
                            </w:r>
                            <w:r w:rsidR="007D71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8.4pt;margin-top:15.55pt;width:7in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" adj="14035,9894,15132,10428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CE2EF6" w:rsidRPr="00201ABF" w:rsidRDefault="00201ABF" w:rsidP="002464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Interactive recap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showing the program/software that is being used </w:t>
                      </w:r>
                      <w:r w:rsidR="00AC46BD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>where applicable</w:t>
                      </w:r>
                      <w:r w:rsidR="00AC46BD">
                        <w:rPr>
                          <w:rFonts w:ascii="Arial" w:hAnsi="Arial" w:cs="Arial"/>
                          <w:color w:val="000000" w:themeColor="text1"/>
                        </w:rPr>
                        <w:t>),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C46BD">
                        <w:rPr>
                          <w:rFonts w:ascii="Arial" w:hAnsi="Arial" w:cs="Arial"/>
                          <w:color w:val="000000" w:themeColor="text1"/>
                        </w:rPr>
                        <w:t>to discuss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 xml:space="preserve">and reinforce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previous 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 xml:space="preserve">learning and 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>vocabulary knowle</w:t>
                      </w:r>
                      <w:r w:rsidR="00AC46BD">
                        <w:rPr>
                          <w:rFonts w:ascii="Arial" w:hAnsi="Arial" w:cs="Arial"/>
                          <w:color w:val="000000" w:themeColor="text1"/>
                        </w:rPr>
                        <w:t>dge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7D7180">
                        <w:rPr>
                          <w:rFonts w:ascii="Arial" w:hAnsi="Arial" w:cs="Arial"/>
                          <w:color w:val="000000" w:themeColor="text1"/>
                        </w:rPr>
                        <w:t xml:space="preserve">Explore and recap vocab from </w:t>
                      </w:r>
                      <w:r w:rsidR="00AC46BD">
                        <w:rPr>
                          <w:rFonts w:ascii="Arial" w:hAnsi="Arial" w:cs="Arial"/>
                          <w:color w:val="000000" w:themeColor="text1"/>
                        </w:rPr>
                        <w:t xml:space="preserve">the class </w:t>
                      </w:r>
                      <w:r w:rsidR="007D7180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r w:rsidR="00E9279E">
                        <w:rPr>
                          <w:rFonts w:ascii="Arial" w:hAnsi="Arial" w:cs="Arial"/>
                          <w:color w:val="000000" w:themeColor="text1"/>
                        </w:rPr>
                        <w:t>ocabulary j</w:t>
                      </w:r>
                      <w:r w:rsidR="007D7180">
                        <w:rPr>
                          <w:rFonts w:ascii="Arial" w:hAnsi="Arial" w:cs="Arial"/>
                          <w:color w:val="000000" w:themeColor="text1"/>
                        </w:rPr>
                        <w:t>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129540</wp:posOffset>
                </wp:positionH>
                <wp:positionV relativeFrom="paragraph">
                  <wp:posOffset>109856</wp:posOffset>
                </wp:positionV>
                <wp:extent cx="6370320" cy="2004060"/>
                <wp:effectExtent l="19050" t="19050" r="11430" b="3429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200406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Pr="00201ABF" w:rsidRDefault="00201AB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introduce the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focus of the lesson </w:t>
                            </w:r>
                            <w:r w:rsidR="00E927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using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new vocabulary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hich should be 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referred to from the display boards in the suite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This new vocabulary should be added to the class vocabulary jar.  </w:t>
                            </w:r>
                            <w:r w:rsidR="00AC4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Program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/software use is modelled.  </w:t>
                            </w:r>
                            <w:r w:rsidR="005A35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 lesson consists of: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factual content, </w:t>
                            </w:r>
                            <w:r w:rsidR="00790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modelling,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questioning, investigation and communication.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TTYP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 oral rehearsal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should be used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10.2pt;margin-top:8.65pt;width:501.6pt;height:157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" adj="14035,9603,15132,1030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Pr="00201ABF" w:rsidRDefault="00201AB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 xml:space="preserve">introduce the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focus of the lesson </w:t>
                      </w:r>
                      <w:r w:rsidR="00E9279E">
                        <w:rPr>
                          <w:rFonts w:ascii="Arial" w:hAnsi="Arial" w:cs="Arial"/>
                          <w:color w:val="000000" w:themeColor="text1"/>
                        </w:rPr>
                        <w:t>using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 new vocabulary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 w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 xml:space="preserve">hich should be 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>referred to from the display boards in the suite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This new vocabulary should be added to the class vocabulary jar.  </w:t>
                      </w:r>
                      <w:r w:rsidR="00AC46BD">
                        <w:rPr>
                          <w:rFonts w:ascii="Arial" w:hAnsi="Arial" w:cs="Arial"/>
                          <w:color w:val="000000" w:themeColor="text1"/>
                        </w:rPr>
                        <w:t>Program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/software use is modelled.  </w:t>
                      </w:r>
                      <w:r w:rsidR="005A35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 lesson consists of: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factual content, </w:t>
                      </w:r>
                      <w:r w:rsidR="00790CE8"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modelling,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>questioning, investigation and communication.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TTYP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and oral rehearsal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should be used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129540</wp:posOffset>
                </wp:positionH>
                <wp:positionV relativeFrom="paragraph">
                  <wp:posOffset>189230</wp:posOffset>
                </wp:positionV>
                <wp:extent cx="6393180" cy="1607820"/>
                <wp:effectExtent l="19050" t="19050" r="2667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367857" w:rsidRPr="005A355E" w:rsidRDefault="00246495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Children have a t</w:t>
                            </w:r>
                            <w:r w:rsidR="00050B9C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ask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to investigate and they should have oppor</w:t>
                            </w:r>
                            <w:r w:rsidR="00050B9C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tunities to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050B9C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recognise</w:t>
                            </w:r>
                            <w:r w:rsidR="00187E79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the links between </w:t>
                            </w:r>
                            <w:r w:rsidR="00050B9C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technology and its use in the wider world</w:t>
                            </w:r>
                            <w:r w:rsidR="00C23F10" w:rsidRPr="005A355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 They should be able to use a variety of ways of communicating their responses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, being able to justify the use of specific software for a task</w:t>
                            </w:r>
                            <w:r w:rsidR="00C23F10" w:rsidRPr="005A355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 Children are able to save and retrieve their work for future sessions.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10.2pt;margin-top:14.9pt;width:503.4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48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" adj="14035,9843,15132,10407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367857" w:rsidRPr="005A355E" w:rsidRDefault="00246495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Children have a t</w:t>
                      </w:r>
                      <w:r w:rsidR="00050B9C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ask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to investigate and they should have oppor</w:t>
                      </w:r>
                      <w:r w:rsidR="00050B9C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tunities to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050B9C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recognise</w:t>
                      </w:r>
                      <w:r w:rsidR="00187E79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the links between </w:t>
                      </w:r>
                      <w:r w:rsidR="00050B9C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technology and its use in the wider world</w:t>
                      </w:r>
                      <w:r w:rsidR="00C23F10" w:rsidRPr="005A355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 They should be able to use a variety of ways of communicating their responses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, being able to justify the use of specific software for a task</w:t>
                      </w:r>
                      <w:r w:rsidR="00C23F10" w:rsidRPr="005A355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 Children are able to save and retrieve their work for future sessions.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144780</wp:posOffset>
                </wp:positionH>
                <wp:positionV relativeFrom="paragraph">
                  <wp:posOffset>74295</wp:posOffset>
                </wp:positionV>
                <wp:extent cx="6370320" cy="1009650"/>
                <wp:effectExtent l="19050" t="19050" r="114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5A355E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 opportunity for</w:t>
                            </w:r>
                            <w:r w:rsidR="00050B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teacher</w:t>
                            </w:r>
                            <w:r w:rsidR="00A73981"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50B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 </w:t>
                            </w:r>
                            <w:r w:rsidR="00A73981"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tood and applied their learning.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Self/peer assessment may take place.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050B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Examples of outstanding work can be shared. 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Whole class feedback given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address any misconceptions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Work will be saved to children’s own profiles for </w:t>
                            </w:r>
                            <w:r w:rsidR="002464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evidence.</w:t>
                            </w:r>
                            <w:bookmarkStart w:id="0" w:name="_GoBack"/>
                            <w:bookmarkEnd w:id="0"/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11.4pt;margin-top:5.85pt;width:501.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5A355E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 opportunity for</w:t>
                      </w:r>
                      <w:r w:rsidR="00050B9C">
                        <w:rPr>
                          <w:rFonts w:ascii="Arial" w:hAnsi="Arial" w:cs="Arial"/>
                          <w:color w:val="000000" w:themeColor="text1"/>
                        </w:rPr>
                        <w:t xml:space="preserve"> the teacher</w:t>
                      </w:r>
                      <w:r w:rsidR="00A73981"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50B9C">
                        <w:rPr>
                          <w:rFonts w:ascii="Arial" w:hAnsi="Arial" w:cs="Arial"/>
                          <w:color w:val="000000" w:themeColor="text1"/>
                        </w:rPr>
                        <w:t xml:space="preserve">to </w:t>
                      </w:r>
                      <w:r w:rsidR="00A73981" w:rsidRPr="00A73981">
                        <w:rPr>
                          <w:rFonts w:ascii="Arial" w:hAnsi="Arial" w:cs="Arial"/>
                          <w:color w:val="000000" w:themeColor="text1"/>
                        </w:rPr>
                        <w:t>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tood and applied their learning.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Self/peer assessment may take place.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050B9C">
                        <w:rPr>
                          <w:rFonts w:ascii="Arial" w:hAnsi="Arial" w:cs="Arial"/>
                          <w:color w:val="000000" w:themeColor="text1"/>
                        </w:rPr>
                        <w:t xml:space="preserve">Examples of outstanding work can be shared. 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Whole class feedback given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address any misconceptions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 xml:space="preserve">Work will be saved to children’s own profiles for </w:t>
                      </w:r>
                      <w:r w:rsidR="00246495">
                        <w:rPr>
                          <w:rFonts w:ascii="Arial" w:hAnsi="Arial" w:cs="Arial"/>
                          <w:color w:val="000000" w:themeColor="text1"/>
                        </w:rPr>
                        <w:t>evidence.</w:t>
                      </w:r>
                      <w:bookmarkStart w:id="1" w:name="_GoBack"/>
                      <w:bookmarkEnd w:id="1"/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lastRenderedPageBreak/>
        <w:t xml:space="preserve">Initial lessons for each new topic should begin with </w:t>
      </w:r>
      <w:r w:rsidR="002000FA">
        <w:rPr>
          <w:rFonts w:ascii="Arial" w:hAnsi="Arial" w:cs="Arial"/>
        </w:rPr>
        <w:t>an assessment of what the children already know</w:t>
      </w:r>
      <w:r w:rsidR="00050B9C">
        <w:rPr>
          <w:rFonts w:ascii="Arial" w:hAnsi="Arial" w:cs="Arial"/>
        </w:rPr>
        <w:t>.  This will provide a re</w:t>
      </w:r>
      <w:r w:rsidRPr="005A355E">
        <w:rPr>
          <w:rFonts w:ascii="Arial" w:hAnsi="Arial" w:cs="Arial"/>
        </w:rPr>
        <w:t>cap of previous learning and vocabulary.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t>The final session w</w:t>
      </w:r>
      <w:r w:rsidR="00050B9C">
        <w:rPr>
          <w:rFonts w:ascii="Arial" w:hAnsi="Arial" w:cs="Arial"/>
        </w:rPr>
        <w:t>ill consist of a whole class re</w:t>
      </w:r>
      <w:r w:rsidRPr="005A355E">
        <w:rPr>
          <w:rFonts w:ascii="Arial" w:hAnsi="Arial" w:cs="Arial"/>
        </w:rPr>
        <w:t xml:space="preserve">cap </w:t>
      </w:r>
      <w:r w:rsidR="002000FA">
        <w:rPr>
          <w:rFonts w:ascii="Arial" w:hAnsi="Arial" w:cs="Arial"/>
        </w:rPr>
        <w:t>of</w:t>
      </w:r>
      <w:r w:rsidR="00050B9C">
        <w:rPr>
          <w:rFonts w:ascii="Arial" w:hAnsi="Arial" w:cs="Arial"/>
        </w:rPr>
        <w:t xml:space="preserve"> the unit</w:t>
      </w:r>
      <w:r w:rsidRPr="005A355E">
        <w:rPr>
          <w:rFonts w:ascii="Arial" w:hAnsi="Arial" w:cs="Arial"/>
        </w:rPr>
        <w:t xml:space="preserve">.  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790CE8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Task orientated, with clear explanation</w:t>
      </w:r>
      <w:r w:rsidR="00EA7BF3" w:rsidRPr="00367857">
        <w:rPr>
          <w:rFonts w:ascii="Arial" w:hAnsi="Arial" w:cs="Arial"/>
        </w:rPr>
        <w:t>.</w:t>
      </w:r>
    </w:p>
    <w:p w:rsidR="005A355E" w:rsidRPr="005A355E" w:rsidRDefault="00EA7BF3" w:rsidP="005A355E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50B9C"/>
    <w:rsid w:val="00073E5A"/>
    <w:rsid w:val="00187E79"/>
    <w:rsid w:val="002000FA"/>
    <w:rsid w:val="00201ABF"/>
    <w:rsid w:val="0024473A"/>
    <w:rsid w:val="00246495"/>
    <w:rsid w:val="002A4C66"/>
    <w:rsid w:val="0034768E"/>
    <w:rsid w:val="00367857"/>
    <w:rsid w:val="003C5A11"/>
    <w:rsid w:val="004142A1"/>
    <w:rsid w:val="004F1CAA"/>
    <w:rsid w:val="00564C27"/>
    <w:rsid w:val="0058463B"/>
    <w:rsid w:val="005A355E"/>
    <w:rsid w:val="006053C1"/>
    <w:rsid w:val="00722476"/>
    <w:rsid w:val="00751C72"/>
    <w:rsid w:val="00790CE8"/>
    <w:rsid w:val="007D7180"/>
    <w:rsid w:val="0084703F"/>
    <w:rsid w:val="00890AD5"/>
    <w:rsid w:val="008922DB"/>
    <w:rsid w:val="00926B98"/>
    <w:rsid w:val="00A115A0"/>
    <w:rsid w:val="00A2626C"/>
    <w:rsid w:val="00A73981"/>
    <w:rsid w:val="00AC3D82"/>
    <w:rsid w:val="00AC46BD"/>
    <w:rsid w:val="00BA5D3B"/>
    <w:rsid w:val="00C23F10"/>
    <w:rsid w:val="00CE2EF6"/>
    <w:rsid w:val="00D401DF"/>
    <w:rsid w:val="00DB7657"/>
    <w:rsid w:val="00E1619B"/>
    <w:rsid w:val="00E9279E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C1D0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Anthony Holmes</cp:lastModifiedBy>
  <cp:revision>3</cp:revision>
  <dcterms:created xsi:type="dcterms:W3CDTF">2022-11-23T10:39:00Z</dcterms:created>
  <dcterms:modified xsi:type="dcterms:W3CDTF">2022-11-23T10:47:00Z</dcterms:modified>
</cp:coreProperties>
</file>