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24473A">
        <w:rPr>
          <w:rFonts w:ascii="Arial" w:hAnsi="Arial" w:cs="Arial"/>
          <w:b/>
        </w:rPr>
        <w:t>Mathematics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r w:rsidR="0024473A">
        <w:rPr>
          <w:rFonts w:ascii="Arial" w:hAnsi="Arial" w:cs="Arial"/>
          <w:b/>
        </w:rPr>
        <w:t>mathematics</w:t>
      </w:r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E175AE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Approximately </w:t>
      </w:r>
      <w:r w:rsidR="0024473A">
        <w:rPr>
          <w:rFonts w:ascii="Arial" w:hAnsi="Arial" w:cs="Arial"/>
        </w:rPr>
        <w:t>60-80</w:t>
      </w:r>
      <w:r w:rsidR="00EA7BF3" w:rsidRPr="00201ABF">
        <w:rPr>
          <w:rFonts w:ascii="Arial" w:hAnsi="Arial" w:cs="Arial"/>
        </w:rPr>
        <w:t xml:space="preserve"> minute session, </w:t>
      </w:r>
      <w:r w:rsidR="0024473A">
        <w:rPr>
          <w:rFonts w:ascii="Arial" w:hAnsi="Arial" w:cs="Arial"/>
        </w:rPr>
        <w:t>five</w:t>
      </w:r>
      <w:r w:rsidR="00007269" w:rsidRPr="00201ABF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>times per week.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posOffset>628650</wp:posOffset>
                </wp:positionH>
                <wp:positionV relativeFrom="paragraph">
                  <wp:posOffset>257810</wp:posOffset>
                </wp:positionV>
                <wp:extent cx="5394960" cy="1152525"/>
                <wp:effectExtent l="19050" t="19050" r="15240" b="47625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5252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shared with the class and an overview for the lesson given.  Date and short title written in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maths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book.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49.5pt;margin-top:20.3pt;width:424.8pt;height:90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" adj="14035,9987,15132,10466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shared with the class and an overview for the lesson given.  Date and short title written in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maths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book.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628650</wp:posOffset>
                </wp:positionH>
                <wp:positionV relativeFrom="paragraph">
                  <wp:posOffset>64135</wp:posOffset>
                </wp:positionV>
                <wp:extent cx="5394960" cy="1752600"/>
                <wp:effectExtent l="19050" t="19050" r="1524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7526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Pr="00201ABF" w:rsidRDefault="002A4C6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Complete quick questions, based on </w:t>
                            </w:r>
                            <w:r w:rsidR="00DB76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gaps from the previous week’s arithmetic tests</w:t>
                            </w:r>
                            <w:r w:rsidR="007F68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in order to recap and reinforce prior learning</w:t>
                            </w:r>
                            <w:r w:rsidR="00DB76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Adults and children use to use mathematical vocabulary when explaining answers. A specific times table will be chanted.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Interactive recap of previous skills/ knowledge,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may be completed on whiteboards</w:t>
                            </w:r>
                            <w:r w:rsidR="00DB765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9.5pt;margin-top:5.05pt;width:424.8pt;height:13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" adj="14035,9564,15132,10292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Pr="00201ABF" w:rsidRDefault="002A4C6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Complete quick questions, based on </w:t>
                      </w:r>
                      <w:r w:rsidR="00DB7657">
                        <w:rPr>
                          <w:rFonts w:ascii="Arial" w:hAnsi="Arial" w:cs="Arial"/>
                          <w:color w:val="000000" w:themeColor="text1"/>
                        </w:rPr>
                        <w:t>gaps from the previous week’s arithmetic tests</w:t>
                      </w:r>
                      <w:r w:rsidR="007F68FB">
                        <w:rPr>
                          <w:rFonts w:ascii="Arial" w:hAnsi="Arial" w:cs="Arial"/>
                          <w:color w:val="000000" w:themeColor="text1"/>
                        </w:rPr>
                        <w:t>, in order to recap and reinforce prior learning</w:t>
                      </w:r>
                      <w:r w:rsidR="00DB7657">
                        <w:rPr>
                          <w:rFonts w:ascii="Arial" w:hAnsi="Arial" w:cs="Arial"/>
                          <w:color w:val="000000" w:themeColor="text1"/>
                        </w:rPr>
                        <w:t xml:space="preserve">. Adults and children use to use mathematical vocabulary when explaining answers. A specific times table will be chanted.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Interactive recap of previous skills/ knowledge,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>may be completed on whiteboards</w:t>
                      </w:r>
                      <w:r w:rsidR="00DB7657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619125</wp:posOffset>
                </wp:positionH>
                <wp:positionV relativeFrom="paragraph">
                  <wp:posOffset>186055</wp:posOffset>
                </wp:positionV>
                <wp:extent cx="5402580" cy="2085975"/>
                <wp:effectExtent l="19050" t="19050" r="26670" b="47625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8597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Pr="00201ABF" w:rsidRDefault="00201AB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introduce the concept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focus should be placed on drawing attention to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clarifying/defining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modelling </w:t>
                            </w:r>
                            <w:r w:rsidR="00E175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specific 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key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mathematical vocabulary – which should be displayed in the classroom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Teach/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recap skil</w:t>
                            </w:r>
                            <w:r w:rsidR="00E175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</w:t>
                            </w:r>
                            <w:r w:rsidR="00BA5D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Go though some examples together.  </w:t>
                            </w:r>
                            <w:r w:rsidRP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Teacher models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how to answer questions by ‘thinking out loud’/ highlighting</w:t>
                            </w:r>
                            <w:r w:rsidR="00BA5D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key information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/ forming 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solutions</w:t>
                            </w:r>
                            <w:r w:rsidR="00E175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using mathematical language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 Questioning, TTYP and oral rehearsal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should be used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48.75pt;margin-top:14.65pt;width:425.4pt;height:16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" adj="14035,9331,15132,10196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Pr="00201ABF" w:rsidRDefault="00201AB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>introduce the concept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>A focus should be placed on drawing attention to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clarifying/defining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 xml:space="preserve"> and modelling </w:t>
                      </w:r>
                      <w:r w:rsidR="00E175AE">
                        <w:rPr>
                          <w:rFonts w:ascii="Arial" w:hAnsi="Arial" w:cs="Arial"/>
                          <w:color w:val="000000" w:themeColor="text1"/>
                        </w:rPr>
                        <w:t xml:space="preserve">specific 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key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>mathematical vocabulary – which should be displayed in the classroom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. Teach/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recap skil</w:t>
                      </w:r>
                      <w:r w:rsidR="00E175AE">
                        <w:rPr>
                          <w:rFonts w:ascii="Arial" w:hAnsi="Arial" w:cs="Arial"/>
                          <w:color w:val="000000" w:themeColor="text1"/>
                        </w:rPr>
                        <w:t>l</w:t>
                      </w:r>
                      <w:r w:rsidR="00BA5D3B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 Go though some examples together.  </w:t>
                      </w:r>
                      <w:r w:rsidRPr="00201AB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Teacher models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how to answer questions by ‘thinking out loud’/ highlighting</w:t>
                      </w:r>
                      <w:r w:rsidR="00BA5D3B">
                        <w:rPr>
                          <w:rFonts w:ascii="Arial" w:hAnsi="Arial" w:cs="Arial"/>
                          <w:color w:val="000000" w:themeColor="text1"/>
                        </w:rPr>
                        <w:t xml:space="preserve"> key information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/ forming 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solutions</w:t>
                      </w:r>
                      <w:r w:rsidR="00E175AE">
                        <w:rPr>
                          <w:rFonts w:ascii="Arial" w:hAnsi="Arial" w:cs="Arial"/>
                          <w:color w:val="000000" w:themeColor="text1"/>
                        </w:rPr>
                        <w:t xml:space="preserve"> and using mathematical language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  Questioning, TTYP and oral rehearsal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should be used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175AE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628650</wp:posOffset>
                </wp:positionH>
                <wp:positionV relativeFrom="paragraph">
                  <wp:posOffset>100965</wp:posOffset>
                </wp:positionV>
                <wp:extent cx="5394960" cy="1504950"/>
                <wp:effectExtent l="19050" t="19050" r="15240" b="3810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0495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201ABF" w:rsidRDefault="00201ABF" w:rsidP="00201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Teacher to model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how to respond to questions</w:t>
                            </w:r>
                            <w:r w:rsidR="00E175A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201ABF" w:rsidRDefault="00007269" w:rsidP="00201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Tasks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set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are achievable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yet challenging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progressive</w:t>
                            </w:r>
                            <w:r w:rsidR="00BA5D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/differentiated</w:t>
                            </w:r>
                            <w:r w:rsidRPr="0000726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 Where necessary, they are scaffolded to support.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007269" w:rsidRPr="00007269" w:rsidRDefault="00201ABF" w:rsidP="00201A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In-the-moment feedback given by teacher/TA.  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Potentially have a f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ocussed group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67857" w:rsidRPr="00367857" w:rsidRDefault="00367857" w:rsidP="00367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49.5pt;margin-top:7.95pt;width:424.8pt;height:118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" adj="14035,9738,15132,10364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201ABF" w:rsidRDefault="00201ABF" w:rsidP="00201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01AB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Teacher to model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how to respond to questions</w:t>
                      </w:r>
                      <w:r w:rsidR="00E175AE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201ABF" w:rsidRDefault="00007269" w:rsidP="00201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Tasks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set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are achievable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 xml:space="preserve"> yet challenging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progressive</w:t>
                      </w:r>
                      <w:r w:rsidR="00BA5D3B">
                        <w:rPr>
                          <w:rFonts w:ascii="Arial" w:hAnsi="Arial" w:cs="Arial"/>
                          <w:color w:val="000000" w:themeColor="text1"/>
                        </w:rPr>
                        <w:t>/differentiated</w:t>
                      </w:r>
                      <w:r w:rsidRPr="00007269">
                        <w:rPr>
                          <w:rFonts w:ascii="Arial" w:hAnsi="Arial" w:cs="Arial"/>
                          <w:color w:val="000000" w:themeColor="text1"/>
                        </w:rPr>
                        <w:t>.  Where necessary, they are scaffolded to support.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</w:p>
                    <w:p w:rsidR="00007269" w:rsidRPr="00007269" w:rsidRDefault="00201ABF" w:rsidP="00201AB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In-the-moment feedback given by teacher/TA.  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Potentially have a f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ocussed group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367857" w:rsidRPr="00367857" w:rsidRDefault="00367857" w:rsidP="0036785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E175AE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179070</wp:posOffset>
                </wp:positionV>
                <wp:extent cx="5410200" cy="100965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A73981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quick opportunity where the teacher can 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tood and applied their learning.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Self/peer assessment may take place.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Whole class feedback given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address any misconceptions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  <w:r w:rsidR="00751C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Review 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lesson, focussing on </w:t>
                            </w:r>
                            <w:r w:rsidR="00BA5D3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oral 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reasoning and mathematical language.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9.5pt;margin-top:14.1pt;width:42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A73981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A quick opportunity where the teacher can 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tood and applied their learning.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Self/peer assessment may take place.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Whole class feedback given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address any misconceptions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  <w:r w:rsidR="00751C72"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the lesson, focussing on </w:t>
                      </w:r>
                      <w:r w:rsidR="00BA5D3B">
                        <w:rPr>
                          <w:rFonts w:ascii="Arial" w:hAnsi="Arial" w:cs="Arial"/>
                          <w:color w:val="000000" w:themeColor="text1"/>
                        </w:rPr>
                        <w:t xml:space="preserve">oral 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reasoning and mathematical language.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lastRenderedPageBreak/>
        <w:t>Please remember a session should be: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Clearly modelled by the teacher.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Pitched accordingly.</w:t>
      </w:r>
    </w:p>
    <w:p w:rsidR="00EA7BF3" w:rsidRPr="00367857" w:rsidRDefault="00BA5D3B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Appropriated</w:t>
      </w:r>
      <w:r w:rsidR="00EA7BF3" w:rsidRPr="00367857">
        <w:rPr>
          <w:rFonts w:ascii="Arial" w:hAnsi="Arial" w:cs="Arial"/>
        </w:rPr>
        <w:t xml:space="preserve"> paced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Progressive.</w:t>
      </w:r>
    </w:p>
    <w:p w:rsidR="00EA7BF3" w:rsidRPr="00367857" w:rsidRDefault="00BA5D3B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Appropriately differentiated</w:t>
      </w:r>
      <w:r w:rsidR="00EA7BF3" w:rsidRPr="00367857">
        <w:rPr>
          <w:rFonts w:ascii="Arial" w:hAnsi="Arial" w:cs="Arial"/>
        </w:rPr>
        <w:t>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201ABF"/>
    <w:rsid w:val="0024473A"/>
    <w:rsid w:val="002A4C66"/>
    <w:rsid w:val="0034768E"/>
    <w:rsid w:val="00367857"/>
    <w:rsid w:val="003D5EA8"/>
    <w:rsid w:val="004142A1"/>
    <w:rsid w:val="004F1CAA"/>
    <w:rsid w:val="00564C27"/>
    <w:rsid w:val="006053C1"/>
    <w:rsid w:val="00711E88"/>
    <w:rsid w:val="00722476"/>
    <w:rsid w:val="00750F9F"/>
    <w:rsid w:val="00751C72"/>
    <w:rsid w:val="007F68FB"/>
    <w:rsid w:val="00890AD5"/>
    <w:rsid w:val="008922DB"/>
    <w:rsid w:val="008A72AE"/>
    <w:rsid w:val="00A73981"/>
    <w:rsid w:val="00AC3D82"/>
    <w:rsid w:val="00BA5D3B"/>
    <w:rsid w:val="00D401DF"/>
    <w:rsid w:val="00DB7657"/>
    <w:rsid w:val="00E175AE"/>
    <w:rsid w:val="00EA7BF3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5FFA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Amandeep Hundal</cp:lastModifiedBy>
  <cp:revision>2</cp:revision>
  <dcterms:created xsi:type="dcterms:W3CDTF">2022-11-09T12:03:00Z</dcterms:created>
  <dcterms:modified xsi:type="dcterms:W3CDTF">2022-11-09T12:03:00Z</dcterms:modified>
</cp:coreProperties>
</file>